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8613CC" w:rsidRDefault="00CF4B14">
      <w:pPr>
        <w:rPr>
          <w:rFonts w:ascii="Times New Roman" w:hAnsi="Times New Roman" w:cs="Times New Roman"/>
          <w:b/>
          <w:bCs/>
        </w:rPr>
      </w:pPr>
      <w:r w:rsidRPr="008613CC">
        <w:rPr>
          <w:rFonts w:ascii="Times New Roman" w:hAnsi="Times New Roman" w:cs="Times New Roman"/>
          <w:b/>
          <w:bCs/>
        </w:rPr>
        <w:t>Słowniczek kafejki (Jak odróżnić prawdę od fałszu?)</w:t>
      </w:r>
    </w:p>
    <w:p w:rsidR="00CF4B14" w:rsidRDefault="00CF4B14">
      <w:pPr>
        <w:rPr>
          <w:rFonts w:ascii="Times New Roman" w:hAnsi="Times New Roman" w:cs="Times New Roman"/>
        </w:rPr>
      </w:pPr>
    </w:p>
    <w:p w:rsidR="00CF4B14" w:rsidRDefault="00CF4B14">
      <w:pPr>
        <w:rPr>
          <w:rFonts w:ascii="Times New Roman" w:hAnsi="Times New Roman" w:cs="Times New Roman"/>
        </w:rPr>
      </w:pPr>
    </w:p>
    <w:p w:rsidR="00CF4B14" w:rsidRDefault="00CF4B14">
      <w:pPr>
        <w:rPr>
          <w:rFonts w:ascii="Times New Roman" w:hAnsi="Times New Roman" w:cs="Times New Roman"/>
        </w:rPr>
      </w:pPr>
    </w:p>
    <w:p w:rsidR="00CF4B14" w:rsidRDefault="00CF4B14">
      <w:pPr>
        <w:rPr>
          <w:rFonts w:ascii="Times New Roman" w:hAnsi="Times New Roman" w:cs="Times New Roman"/>
        </w:rPr>
      </w:pPr>
    </w:p>
    <w:p w:rsidR="00CF4B14" w:rsidRDefault="00CF4B14">
      <w:pPr>
        <w:rPr>
          <w:rFonts w:ascii="Times New Roman" w:hAnsi="Times New Roman" w:cs="Times New Roman"/>
        </w:rPr>
      </w:pPr>
    </w:p>
    <w:p w:rsidR="00CF4B14" w:rsidRDefault="00CF4B14">
      <w:pPr>
        <w:rPr>
          <w:rFonts w:ascii="Times New Roman" w:hAnsi="Times New Roman" w:cs="Times New Roman"/>
        </w:rPr>
      </w:pPr>
    </w:p>
    <w:p w:rsidR="00CF4B14" w:rsidRDefault="00CF4B14">
      <w:pPr>
        <w:rPr>
          <w:rFonts w:ascii="Times New Roman" w:hAnsi="Times New Roman" w:cs="Times New Roman"/>
        </w:rPr>
      </w:pPr>
    </w:p>
    <w:p w:rsidR="00CF4B14" w:rsidRDefault="00CF4B14">
      <w:pPr>
        <w:rPr>
          <w:rFonts w:ascii="Times New Roman" w:hAnsi="Times New Roman" w:cs="Times New Roman"/>
        </w:rPr>
      </w:pPr>
    </w:p>
    <w:p w:rsidR="00CF4B14" w:rsidRPr="00CF4B14" w:rsidRDefault="00CF4B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856790" cy="3860157"/>
            <wp:effectExtent l="0" t="0" r="0" b="12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CF4B14" w:rsidRPr="00CF4B14" w:rsidSect="00CF4B1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14"/>
    <w:rsid w:val="006A0806"/>
    <w:rsid w:val="00824814"/>
    <w:rsid w:val="008613CC"/>
    <w:rsid w:val="00CF4B14"/>
    <w:rsid w:val="00D5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21B8"/>
  <w15:chartTrackingRefBased/>
  <w15:docId w15:val="{1EE61C8A-F703-654F-A9E1-3BCB82B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16A58-023C-A548-A569-3AC588A3646C}" type="doc">
      <dgm:prSet loTypeId="urn:microsoft.com/office/officeart/2005/8/layout/radial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l-PL"/>
        </a:p>
      </dgm:t>
    </dgm:pt>
    <dgm:pt modelId="{BE78C9F1-970C-524F-8113-FDC7836D8494}">
      <dgm:prSet phldrT="[Tekst]"/>
      <dgm:spPr/>
      <dgm:t>
        <a:bodyPr/>
        <a:lstStyle/>
        <a:p>
          <a:r>
            <a:rPr lang="pl-PL">
              <a:solidFill>
                <a:srgbClr val="C00000"/>
              </a:solidFill>
            </a:rPr>
            <a:t>?</a:t>
          </a:r>
        </a:p>
      </dgm:t>
    </dgm:pt>
    <dgm:pt modelId="{A274E44C-AA7A-5841-8E94-49477F61A079}" type="parTrans" cxnId="{6B196308-065A-344B-915F-A7B31CBFDDD2}">
      <dgm:prSet/>
      <dgm:spPr/>
      <dgm:t>
        <a:bodyPr/>
        <a:lstStyle/>
        <a:p>
          <a:endParaRPr lang="pl-PL"/>
        </a:p>
      </dgm:t>
    </dgm:pt>
    <dgm:pt modelId="{90FA4A86-4843-C94B-ADDC-09C9EA0FCE84}" type="sibTrans" cxnId="{6B196308-065A-344B-915F-A7B31CBFDDD2}">
      <dgm:prSet/>
      <dgm:spPr/>
      <dgm:t>
        <a:bodyPr/>
        <a:lstStyle/>
        <a:p>
          <a:endParaRPr lang="pl-PL"/>
        </a:p>
      </dgm:t>
    </dgm:pt>
    <dgm:pt modelId="{23C5E13B-DDD9-B042-A369-EC1005CAE9A7}">
      <dgm:prSet phldrT="[Tekst]"/>
      <dgm:spPr/>
      <dgm:t>
        <a:bodyPr/>
        <a:lstStyle/>
        <a:p>
          <a:r>
            <a:rPr lang="pl-PL" b="1">
              <a:solidFill>
                <a:schemeClr val="tx1"/>
              </a:solidFill>
            </a:rPr>
            <a:t>Klasyfikacja</a:t>
          </a:r>
          <a:r>
            <a:rPr lang="pl-PL">
              <a:solidFill>
                <a:schemeClr val="tx1"/>
              </a:solidFill>
            </a:rPr>
            <a:t> - to przyporządkowanie rzeczy do zbiorów (np. jamnik należy do klasy psów, a psy do klasy zwierząt</a:t>
          </a:r>
        </a:p>
      </dgm:t>
    </dgm:pt>
    <dgm:pt modelId="{8F5DC70C-2354-E741-82A6-64C682689BB3}" type="parTrans" cxnId="{A924F126-7DBD-1545-AFDF-CA8418B0D120}">
      <dgm:prSet/>
      <dgm:spPr/>
      <dgm:t>
        <a:bodyPr/>
        <a:lstStyle/>
        <a:p>
          <a:endParaRPr lang="pl-PL"/>
        </a:p>
      </dgm:t>
    </dgm:pt>
    <dgm:pt modelId="{0E4BB51D-90ED-B74D-9C3F-E8BA200C59E2}" type="sibTrans" cxnId="{A924F126-7DBD-1545-AFDF-CA8418B0D120}">
      <dgm:prSet/>
      <dgm:spPr/>
      <dgm:t>
        <a:bodyPr/>
        <a:lstStyle/>
        <a:p>
          <a:endParaRPr lang="pl-PL"/>
        </a:p>
      </dgm:t>
    </dgm:pt>
    <dgm:pt modelId="{7133DE65-FA15-1E41-9725-9093EE474D72}">
      <dgm:prSet phldrT="[Tekst]"/>
      <dgm:spPr/>
      <dgm:t>
        <a:bodyPr/>
        <a:lstStyle/>
        <a:p>
          <a:r>
            <a:rPr lang="pl-PL" b="1">
              <a:solidFill>
                <a:schemeClr val="tx1"/>
              </a:solidFill>
            </a:rPr>
            <a:t>Fałsz</a:t>
          </a:r>
          <a:r>
            <a:rPr lang="pl-PL">
              <a:solidFill>
                <a:schemeClr val="tx1"/>
              </a:solidFill>
            </a:rPr>
            <a:t> - to przeciwieństwo prawdy. Niezgodność sądu z rzeczywistym stanem rzeczy, którego ten sąd dotyczy.</a:t>
          </a:r>
        </a:p>
      </dgm:t>
    </dgm:pt>
    <dgm:pt modelId="{701E88BD-FD87-E848-8755-E697CCB9326A}" type="parTrans" cxnId="{0C2C2DBD-612C-924C-9A8A-EA691ADF8C8C}">
      <dgm:prSet/>
      <dgm:spPr/>
      <dgm:t>
        <a:bodyPr/>
        <a:lstStyle/>
        <a:p>
          <a:endParaRPr lang="pl-PL"/>
        </a:p>
      </dgm:t>
    </dgm:pt>
    <dgm:pt modelId="{74BA1C88-8539-4D41-AF98-19AD9165B5AE}" type="sibTrans" cxnId="{0C2C2DBD-612C-924C-9A8A-EA691ADF8C8C}">
      <dgm:prSet/>
      <dgm:spPr/>
      <dgm:t>
        <a:bodyPr/>
        <a:lstStyle/>
        <a:p>
          <a:endParaRPr lang="pl-PL"/>
        </a:p>
      </dgm:t>
    </dgm:pt>
    <dgm:pt modelId="{A3690E91-1C3C-5F49-AA32-61C28CA650F0}">
      <dgm:prSet phldrT="[Tekst]"/>
      <dgm:spPr/>
      <dgm:t>
        <a:bodyPr/>
        <a:lstStyle/>
        <a:p>
          <a:r>
            <a:rPr lang="pl-PL" b="1">
              <a:solidFill>
                <a:schemeClr val="tx1"/>
              </a:solidFill>
            </a:rPr>
            <a:t>Logika</a:t>
          </a:r>
          <a:r>
            <a:rPr lang="pl-PL">
              <a:solidFill>
                <a:schemeClr val="tx1"/>
              </a:solidFill>
            </a:rPr>
            <a:t> - dotyczy mówienia i rozumowania, jest narzędziem filozofii. Bada związki między prawdziwością a fałszywością zdań.  </a:t>
          </a:r>
        </a:p>
      </dgm:t>
    </dgm:pt>
    <dgm:pt modelId="{60B5CCD2-710C-AF43-B9B5-8C01E2F7BFC0}" type="parTrans" cxnId="{B54EA0A6-8FCA-5E45-861B-36804EB6FAF2}">
      <dgm:prSet/>
      <dgm:spPr/>
      <dgm:t>
        <a:bodyPr/>
        <a:lstStyle/>
        <a:p>
          <a:endParaRPr lang="pl-PL"/>
        </a:p>
      </dgm:t>
    </dgm:pt>
    <dgm:pt modelId="{52EF46B1-813F-E34A-856B-A600EA2849B5}" type="sibTrans" cxnId="{B54EA0A6-8FCA-5E45-861B-36804EB6FAF2}">
      <dgm:prSet/>
      <dgm:spPr/>
      <dgm:t>
        <a:bodyPr/>
        <a:lstStyle/>
        <a:p>
          <a:endParaRPr lang="pl-PL"/>
        </a:p>
      </dgm:t>
    </dgm:pt>
    <dgm:pt modelId="{DDCB6A78-025F-444E-90D2-0D04D98D8863}">
      <dgm:prSet phldrT="[Tekst]"/>
      <dgm:spPr/>
      <dgm:t>
        <a:bodyPr/>
        <a:lstStyle/>
        <a:p>
          <a:r>
            <a:rPr lang="pl-PL" b="1">
              <a:solidFill>
                <a:schemeClr val="tx1"/>
              </a:solidFill>
            </a:rPr>
            <a:t>Prawda</a:t>
          </a:r>
          <a:r>
            <a:rPr lang="pl-PL">
              <a:solidFill>
                <a:schemeClr val="tx1"/>
              </a:solidFill>
            </a:rPr>
            <a:t> - zgodność tego, co mówimy (sąd) z rzeczywistym stanem rzeczy, np: "ta ściana jest biała". I rzeczywiście wskazywana ściana jest biała. </a:t>
          </a:r>
        </a:p>
      </dgm:t>
    </dgm:pt>
    <dgm:pt modelId="{77E7C3B2-97CA-8142-B04C-FE6A46A43F94}" type="parTrans" cxnId="{5DF37322-515B-FA40-8F62-EA3E1ABEC3F2}">
      <dgm:prSet/>
      <dgm:spPr/>
      <dgm:t>
        <a:bodyPr/>
        <a:lstStyle/>
        <a:p>
          <a:endParaRPr lang="pl-PL"/>
        </a:p>
      </dgm:t>
    </dgm:pt>
    <dgm:pt modelId="{38417EC3-9710-5E47-9AAB-4B6F03F86D29}" type="sibTrans" cxnId="{5DF37322-515B-FA40-8F62-EA3E1ABEC3F2}">
      <dgm:prSet/>
      <dgm:spPr/>
      <dgm:t>
        <a:bodyPr/>
        <a:lstStyle/>
        <a:p>
          <a:endParaRPr lang="pl-PL"/>
        </a:p>
      </dgm:t>
    </dgm:pt>
    <dgm:pt modelId="{02F9B0C7-34A5-0E4F-85B5-9CCB1D603148}" type="pres">
      <dgm:prSet presAssocID="{47816A58-023C-A548-A569-3AC588A3646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3C7A465-6599-DB49-BABA-BBB30171F230}" type="pres">
      <dgm:prSet presAssocID="{BE78C9F1-970C-524F-8113-FDC7836D8494}" presName="centerShape" presStyleLbl="node0" presStyleIdx="0" presStyleCnt="1"/>
      <dgm:spPr/>
    </dgm:pt>
    <dgm:pt modelId="{56558553-56C4-2049-B3BB-7227D537AEB6}" type="pres">
      <dgm:prSet presAssocID="{8F5DC70C-2354-E741-82A6-64C682689BB3}" presName="Name9" presStyleLbl="parChTrans1D2" presStyleIdx="0" presStyleCnt="4"/>
      <dgm:spPr/>
    </dgm:pt>
    <dgm:pt modelId="{410191B8-23EB-AD45-9847-94A454912E85}" type="pres">
      <dgm:prSet presAssocID="{8F5DC70C-2354-E741-82A6-64C682689BB3}" presName="connTx" presStyleLbl="parChTrans1D2" presStyleIdx="0" presStyleCnt="4"/>
      <dgm:spPr/>
    </dgm:pt>
    <dgm:pt modelId="{7B34DA45-9F81-D34B-BD48-643A39ED9252}" type="pres">
      <dgm:prSet presAssocID="{23C5E13B-DDD9-B042-A369-EC1005CAE9A7}" presName="node" presStyleLbl="node1" presStyleIdx="0" presStyleCnt="4">
        <dgm:presLayoutVars>
          <dgm:bulletEnabled val="1"/>
        </dgm:presLayoutVars>
      </dgm:prSet>
      <dgm:spPr/>
    </dgm:pt>
    <dgm:pt modelId="{D5538764-AEF8-9E4A-BAEE-C1212A50D67E}" type="pres">
      <dgm:prSet presAssocID="{701E88BD-FD87-E848-8755-E697CCB9326A}" presName="Name9" presStyleLbl="parChTrans1D2" presStyleIdx="1" presStyleCnt="4"/>
      <dgm:spPr/>
    </dgm:pt>
    <dgm:pt modelId="{DF807810-11DF-4541-99E6-309591227045}" type="pres">
      <dgm:prSet presAssocID="{701E88BD-FD87-E848-8755-E697CCB9326A}" presName="connTx" presStyleLbl="parChTrans1D2" presStyleIdx="1" presStyleCnt="4"/>
      <dgm:spPr/>
    </dgm:pt>
    <dgm:pt modelId="{FBE3A44D-264E-C744-B958-FF1E6B289FD6}" type="pres">
      <dgm:prSet presAssocID="{7133DE65-FA15-1E41-9725-9093EE474D72}" presName="node" presStyleLbl="node1" presStyleIdx="1" presStyleCnt="4">
        <dgm:presLayoutVars>
          <dgm:bulletEnabled val="1"/>
        </dgm:presLayoutVars>
      </dgm:prSet>
      <dgm:spPr/>
    </dgm:pt>
    <dgm:pt modelId="{0541DC41-DE40-F14E-9DA3-488C430701A3}" type="pres">
      <dgm:prSet presAssocID="{60B5CCD2-710C-AF43-B9B5-8C01E2F7BFC0}" presName="Name9" presStyleLbl="parChTrans1D2" presStyleIdx="2" presStyleCnt="4"/>
      <dgm:spPr/>
    </dgm:pt>
    <dgm:pt modelId="{9FC4C13A-C0CC-394A-B504-8D6A8808F3EB}" type="pres">
      <dgm:prSet presAssocID="{60B5CCD2-710C-AF43-B9B5-8C01E2F7BFC0}" presName="connTx" presStyleLbl="parChTrans1D2" presStyleIdx="2" presStyleCnt="4"/>
      <dgm:spPr/>
    </dgm:pt>
    <dgm:pt modelId="{C0279E19-C559-7143-848A-A6A1762018D5}" type="pres">
      <dgm:prSet presAssocID="{A3690E91-1C3C-5F49-AA32-61C28CA650F0}" presName="node" presStyleLbl="node1" presStyleIdx="2" presStyleCnt="4">
        <dgm:presLayoutVars>
          <dgm:bulletEnabled val="1"/>
        </dgm:presLayoutVars>
      </dgm:prSet>
      <dgm:spPr/>
    </dgm:pt>
    <dgm:pt modelId="{F19F535C-3EF7-7B42-8177-BCE4B3E4B712}" type="pres">
      <dgm:prSet presAssocID="{77E7C3B2-97CA-8142-B04C-FE6A46A43F94}" presName="Name9" presStyleLbl="parChTrans1D2" presStyleIdx="3" presStyleCnt="4"/>
      <dgm:spPr/>
    </dgm:pt>
    <dgm:pt modelId="{1FC840A5-FF15-DA4B-84F6-77CCEA6379A6}" type="pres">
      <dgm:prSet presAssocID="{77E7C3B2-97CA-8142-B04C-FE6A46A43F94}" presName="connTx" presStyleLbl="parChTrans1D2" presStyleIdx="3" presStyleCnt="4"/>
      <dgm:spPr/>
    </dgm:pt>
    <dgm:pt modelId="{F22C2D76-B225-034B-92CD-48F61DDB8768}" type="pres">
      <dgm:prSet presAssocID="{DDCB6A78-025F-444E-90D2-0D04D98D8863}" presName="node" presStyleLbl="node1" presStyleIdx="3" presStyleCnt="4">
        <dgm:presLayoutVars>
          <dgm:bulletEnabled val="1"/>
        </dgm:presLayoutVars>
      </dgm:prSet>
      <dgm:spPr/>
    </dgm:pt>
  </dgm:ptLst>
  <dgm:cxnLst>
    <dgm:cxn modelId="{6B196308-065A-344B-915F-A7B31CBFDDD2}" srcId="{47816A58-023C-A548-A569-3AC588A3646C}" destId="{BE78C9F1-970C-524F-8113-FDC7836D8494}" srcOrd="0" destOrd="0" parTransId="{A274E44C-AA7A-5841-8E94-49477F61A079}" sibTransId="{90FA4A86-4843-C94B-ADDC-09C9EA0FCE84}"/>
    <dgm:cxn modelId="{9155F311-7026-C345-9069-038AB20E61D2}" type="presOf" srcId="{77E7C3B2-97CA-8142-B04C-FE6A46A43F94}" destId="{F19F535C-3EF7-7B42-8177-BCE4B3E4B712}" srcOrd="0" destOrd="0" presId="urn:microsoft.com/office/officeart/2005/8/layout/radial1"/>
    <dgm:cxn modelId="{73125515-FEA6-0542-BCEC-7EA3B1BA6A66}" type="presOf" srcId="{23C5E13B-DDD9-B042-A369-EC1005CAE9A7}" destId="{7B34DA45-9F81-D34B-BD48-643A39ED9252}" srcOrd="0" destOrd="0" presId="urn:microsoft.com/office/officeart/2005/8/layout/radial1"/>
    <dgm:cxn modelId="{5DF37322-515B-FA40-8F62-EA3E1ABEC3F2}" srcId="{BE78C9F1-970C-524F-8113-FDC7836D8494}" destId="{DDCB6A78-025F-444E-90D2-0D04D98D8863}" srcOrd="3" destOrd="0" parTransId="{77E7C3B2-97CA-8142-B04C-FE6A46A43F94}" sibTransId="{38417EC3-9710-5E47-9AAB-4B6F03F86D29}"/>
    <dgm:cxn modelId="{A924F126-7DBD-1545-AFDF-CA8418B0D120}" srcId="{BE78C9F1-970C-524F-8113-FDC7836D8494}" destId="{23C5E13B-DDD9-B042-A369-EC1005CAE9A7}" srcOrd="0" destOrd="0" parTransId="{8F5DC70C-2354-E741-82A6-64C682689BB3}" sibTransId="{0E4BB51D-90ED-B74D-9C3F-E8BA200C59E2}"/>
    <dgm:cxn modelId="{0422E928-2172-1F48-8703-918510A07652}" type="presOf" srcId="{701E88BD-FD87-E848-8755-E697CCB9326A}" destId="{DF807810-11DF-4541-99E6-309591227045}" srcOrd="1" destOrd="0" presId="urn:microsoft.com/office/officeart/2005/8/layout/radial1"/>
    <dgm:cxn modelId="{DCB0002E-5C7E-B14E-8F8F-E2FF61D5D24C}" type="presOf" srcId="{701E88BD-FD87-E848-8755-E697CCB9326A}" destId="{D5538764-AEF8-9E4A-BAEE-C1212A50D67E}" srcOrd="0" destOrd="0" presId="urn:microsoft.com/office/officeart/2005/8/layout/radial1"/>
    <dgm:cxn modelId="{B25F182E-A4E8-D443-BAD3-766E63E3BB4E}" type="presOf" srcId="{7133DE65-FA15-1E41-9725-9093EE474D72}" destId="{FBE3A44D-264E-C744-B958-FF1E6B289FD6}" srcOrd="0" destOrd="0" presId="urn:microsoft.com/office/officeart/2005/8/layout/radial1"/>
    <dgm:cxn modelId="{B3531540-CF12-A14E-A164-8C47069C934A}" type="presOf" srcId="{60B5CCD2-710C-AF43-B9B5-8C01E2F7BFC0}" destId="{9FC4C13A-C0CC-394A-B504-8D6A8808F3EB}" srcOrd="1" destOrd="0" presId="urn:microsoft.com/office/officeart/2005/8/layout/radial1"/>
    <dgm:cxn modelId="{D7CEDE4B-5CF5-AB41-8171-153298592A6C}" type="presOf" srcId="{8F5DC70C-2354-E741-82A6-64C682689BB3}" destId="{56558553-56C4-2049-B3BB-7227D537AEB6}" srcOrd="0" destOrd="0" presId="urn:microsoft.com/office/officeart/2005/8/layout/radial1"/>
    <dgm:cxn modelId="{C15B1451-328A-3648-9FA2-77778C0DF16A}" type="presOf" srcId="{47816A58-023C-A548-A569-3AC588A3646C}" destId="{02F9B0C7-34A5-0E4F-85B5-9CCB1D603148}" srcOrd="0" destOrd="0" presId="urn:microsoft.com/office/officeart/2005/8/layout/radial1"/>
    <dgm:cxn modelId="{11846858-DB75-2D45-85BE-13E361B6AEF9}" type="presOf" srcId="{DDCB6A78-025F-444E-90D2-0D04D98D8863}" destId="{F22C2D76-B225-034B-92CD-48F61DDB8768}" srcOrd="0" destOrd="0" presId="urn:microsoft.com/office/officeart/2005/8/layout/radial1"/>
    <dgm:cxn modelId="{6389335D-E6BC-7C42-BB67-52EDCA211BA1}" type="presOf" srcId="{77E7C3B2-97CA-8142-B04C-FE6A46A43F94}" destId="{1FC840A5-FF15-DA4B-84F6-77CCEA6379A6}" srcOrd="1" destOrd="0" presId="urn:microsoft.com/office/officeart/2005/8/layout/radial1"/>
    <dgm:cxn modelId="{B54EA0A6-8FCA-5E45-861B-36804EB6FAF2}" srcId="{BE78C9F1-970C-524F-8113-FDC7836D8494}" destId="{A3690E91-1C3C-5F49-AA32-61C28CA650F0}" srcOrd="2" destOrd="0" parTransId="{60B5CCD2-710C-AF43-B9B5-8C01E2F7BFC0}" sibTransId="{52EF46B1-813F-E34A-856B-A600EA2849B5}"/>
    <dgm:cxn modelId="{0C2C2DBD-612C-924C-9A8A-EA691ADF8C8C}" srcId="{BE78C9F1-970C-524F-8113-FDC7836D8494}" destId="{7133DE65-FA15-1E41-9725-9093EE474D72}" srcOrd="1" destOrd="0" parTransId="{701E88BD-FD87-E848-8755-E697CCB9326A}" sibTransId="{74BA1C88-8539-4D41-AF98-19AD9165B5AE}"/>
    <dgm:cxn modelId="{F6BEACC1-DFBB-904F-A602-AEA56C617F2B}" type="presOf" srcId="{8F5DC70C-2354-E741-82A6-64C682689BB3}" destId="{410191B8-23EB-AD45-9847-94A454912E85}" srcOrd="1" destOrd="0" presId="urn:microsoft.com/office/officeart/2005/8/layout/radial1"/>
    <dgm:cxn modelId="{FF33EFDE-7A91-E84C-83B3-7E73E6BFE2DD}" type="presOf" srcId="{BE78C9F1-970C-524F-8113-FDC7836D8494}" destId="{73C7A465-6599-DB49-BABA-BBB30171F230}" srcOrd="0" destOrd="0" presId="urn:microsoft.com/office/officeart/2005/8/layout/radial1"/>
    <dgm:cxn modelId="{0B21A7E9-8232-C247-8974-6C944C04257F}" type="presOf" srcId="{60B5CCD2-710C-AF43-B9B5-8C01E2F7BFC0}" destId="{0541DC41-DE40-F14E-9DA3-488C430701A3}" srcOrd="0" destOrd="0" presId="urn:microsoft.com/office/officeart/2005/8/layout/radial1"/>
    <dgm:cxn modelId="{AF2A1DEC-9EDF-954B-80ED-3F0CC4D9585F}" type="presOf" srcId="{A3690E91-1C3C-5F49-AA32-61C28CA650F0}" destId="{C0279E19-C559-7143-848A-A6A1762018D5}" srcOrd="0" destOrd="0" presId="urn:microsoft.com/office/officeart/2005/8/layout/radial1"/>
    <dgm:cxn modelId="{B2AB7B24-F258-CA41-BDCF-2CD8BB9D71C0}" type="presParOf" srcId="{02F9B0C7-34A5-0E4F-85B5-9CCB1D603148}" destId="{73C7A465-6599-DB49-BABA-BBB30171F230}" srcOrd="0" destOrd="0" presId="urn:microsoft.com/office/officeart/2005/8/layout/radial1"/>
    <dgm:cxn modelId="{C2F0C91E-FE9D-D44C-9950-F5263522F8C8}" type="presParOf" srcId="{02F9B0C7-34A5-0E4F-85B5-9CCB1D603148}" destId="{56558553-56C4-2049-B3BB-7227D537AEB6}" srcOrd="1" destOrd="0" presId="urn:microsoft.com/office/officeart/2005/8/layout/radial1"/>
    <dgm:cxn modelId="{008FA5C0-4BC1-1842-8287-0A82B51DE7AA}" type="presParOf" srcId="{56558553-56C4-2049-B3BB-7227D537AEB6}" destId="{410191B8-23EB-AD45-9847-94A454912E85}" srcOrd="0" destOrd="0" presId="urn:microsoft.com/office/officeart/2005/8/layout/radial1"/>
    <dgm:cxn modelId="{CFA63A01-8C57-0743-AEDF-173D062C1378}" type="presParOf" srcId="{02F9B0C7-34A5-0E4F-85B5-9CCB1D603148}" destId="{7B34DA45-9F81-D34B-BD48-643A39ED9252}" srcOrd="2" destOrd="0" presId="urn:microsoft.com/office/officeart/2005/8/layout/radial1"/>
    <dgm:cxn modelId="{64A57F98-CD8D-9645-A138-46B55B3E3682}" type="presParOf" srcId="{02F9B0C7-34A5-0E4F-85B5-9CCB1D603148}" destId="{D5538764-AEF8-9E4A-BAEE-C1212A50D67E}" srcOrd="3" destOrd="0" presId="urn:microsoft.com/office/officeart/2005/8/layout/radial1"/>
    <dgm:cxn modelId="{D58688CB-4D0C-4446-9802-057CF24B61B0}" type="presParOf" srcId="{D5538764-AEF8-9E4A-BAEE-C1212A50D67E}" destId="{DF807810-11DF-4541-99E6-309591227045}" srcOrd="0" destOrd="0" presId="urn:microsoft.com/office/officeart/2005/8/layout/radial1"/>
    <dgm:cxn modelId="{2A298FD7-289A-A34B-8686-82AFA649D1D2}" type="presParOf" srcId="{02F9B0C7-34A5-0E4F-85B5-9CCB1D603148}" destId="{FBE3A44D-264E-C744-B958-FF1E6B289FD6}" srcOrd="4" destOrd="0" presId="urn:microsoft.com/office/officeart/2005/8/layout/radial1"/>
    <dgm:cxn modelId="{F2805C47-5E8C-E047-A7C2-FF5340AB50A6}" type="presParOf" srcId="{02F9B0C7-34A5-0E4F-85B5-9CCB1D603148}" destId="{0541DC41-DE40-F14E-9DA3-488C430701A3}" srcOrd="5" destOrd="0" presId="urn:microsoft.com/office/officeart/2005/8/layout/radial1"/>
    <dgm:cxn modelId="{08485AB4-C8E5-9F48-A800-C933FAD1B1AF}" type="presParOf" srcId="{0541DC41-DE40-F14E-9DA3-488C430701A3}" destId="{9FC4C13A-C0CC-394A-B504-8D6A8808F3EB}" srcOrd="0" destOrd="0" presId="urn:microsoft.com/office/officeart/2005/8/layout/radial1"/>
    <dgm:cxn modelId="{A7BCDBAF-B8DA-CE40-8683-0DCDF8D9A7A1}" type="presParOf" srcId="{02F9B0C7-34A5-0E4F-85B5-9CCB1D603148}" destId="{C0279E19-C559-7143-848A-A6A1762018D5}" srcOrd="6" destOrd="0" presId="urn:microsoft.com/office/officeart/2005/8/layout/radial1"/>
    <dgm:cxn modelId="{3A614A5E-42C4-C64F-A14E-E926A62D6D4B}" type="presParOf" srcId="{02F9B0C7-34A5-0E4F-85B5-9CCB1D603148}" destId="{F19F535C-3EF7-7B42-8177-BCE4B3E4B712}" srcOrd="7" destOrd="0" presId="urn:microsoft.com/office/officeart/2005/8/layout/radial1"/>
    <dgm:cxn modelId="{CFC18F5F-8EB8-9B4C-9D60-A990E0EE4DA4}" type="presParOf" srcId="{F19F535C-3EF7-7B42-8177-BCE4B3E4B712}" destId="{1FC840A5-FF15-DA4B-84F6-77CCEA6379A6}" srcOrd="0" destOrd="0" presId="urn:microsoft.com/office/officeart/2005/8/layout/radial1"/>
    <dgm:cxn modelId="{F6B44EA2-9971-5A40-81E1-D10CA0C363C2}" type="presParOf" srcId="{02F9B0C7-34A5-0E4F-85B5-9CCB1D603148}" destId="{F22C2D76-B225-034B-92CD-48F61DDB8768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C7A465-6599-DB49-BABA-BBB30171F230}">
      <dsp:nvSpPr>
        <dsp:cNvPr id="0" name=""/>
        <dsp:cNvSpPr/>
      </dsp:nvSpPr>
      <dsp:spPr>
        <a:xfrm>
          <a:off x="2397088" y="1398771"/>
          <a:ext cx="1062613" cy="1062613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115" tIns="31115" rIns="31115" bIns="31115" numCol="1" spcCol="1270" anchor="ctr" anchorCtr="0">
          <a:noAutofit/>
        </a:bodyPr>
        <a:lstStyle/>
        <a:p>
          <a:pPr marL="0" lvl="0" indent="0" algn="ctr" defTabSz="2178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4900" kern="1200">
              <a:solidFill>
                <a:srgbClr val="C00000"/>
              </a:solidFill>
            </a:rPr>
            <a:t>?</a:t>
          </a:r>
        </a:p>
      </dsp:txBody>
      <dsp:txXfrm>
        <a:off x="2552704" y="1554387"/>
        <a:ext cx="751381" cy="751381"/>
      </dsp:txXfrm>
    </dsp:sp>
    <dsp:sp modelId="{56558553-56C4-2049-B3BB-7227D537AEB6}">
      <dsp:nvSpPr>
        <dsp:cNvPr id="0" name=""/>
        <dsp:cNvSpPr/>
      </dsp:nvSpPr>
      <dsp:spPr>
        <a:xfrm rot="16200000">
          <a:off x="2767831" y="1221879"/>
          <a:ext cx="321127" cy="32657"/>
        </a:xfrm>
        <a:custGeom>
          <a:avLst/>
          <a:gdLst/>
          <a:ahLst/>
          <a:cxnLst/>
          <a:rect l="0" t="0" r="0" b="0"/>
          <a:pathLst>
            <a:path>
              <a:moveTo>
                <a:pt x="0" y="16328"/>
              </a:moveTo>
              <a:lnTo>
                <a:pt x="321127" y="1632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920366" y="1230179"/>
        <a:ext cx="16056" cy="16056"/>
      </dsp:txXfrm>
    </dsp:sp>
    <dsp:sp modelId="{7B34DA45-9F81-D34B-BD48-643A39ED9252}">
      <dsp:nvSpPr>
        <dsp:cNvPr id="0" name=""/>
        <dsp:cNvSpPr/>
      </dsp:nvSpPr>
      <dsp:spPr>
        <a:xfrm>
          <a:off x="2397088" y="15031"/>
          <a:ext cx="1062613" cy="106261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>
              <a:solidFill>
                <a:schemeClr val="tx1"/>
              </a:solidFill>
            </a:rPr>
            <a:t>Klasyfikacja</a:t>
          </a:r>
          <a:r>
            <a:rPr lang="pl-PL" sz="600" kern="1200">
              <a:solidFill>
                <a:schemeClr val="tx1"/>
              </a:solidFill>
            </a:rPr>
            <a:t> - to przyporządkowanie rzeczy do zbiorów (np. jamnik należy do klasy psów, a psy do klasy zwierząt</a:t>
          </a:r>
        </a:p>
      </dsp:txBody>
      <dsp:txXfrm>
        <a:off x="2552704" y="170647"/>
        <a:ext cx="751381" cy="751381"/>
      </dsp:txXfrm>
    </dsp:sp>
    <dsp:sp modelId="{D5538764-AEF8-9E4A-BAEE-C1212A50D67E}">
      <dsp:nvSpPr>
        <dsp:cNvPr id="0" name=""/>
        <dsp:cNvSpPr/>
      </dsp:nvSpPr>
      <dsp:spPr>
        <a:xfrm>
          <a:off x="3459701" y="1913749"/>
          <a:ext cx="321127" cy="32657"/>
        </a:xfrm>
        <a:custGeom>
          <a:avLst/>
          <a:gdLst/>
          <a:ahLst/>
          <a:cxnLst/>
          <a:rect l="0" t="0" r="0" b="0"/>
          <a:pathLst>
            <a:path>
              <a:moveTo>
                <a:pt x="0" y="16328"/>
              </a:moveTo>
              <a:lnTo>
                <a:pt x="321127" y="1632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3612237" y="1922050"/>
        <a:ext cx="16056" cy="16056"/>
      </dsp:txXfrm>
    </dsp:sp>
    <dsp:sp modelId="{FBE3A44D-264E-C744-B958-FF1E6B289FD6}">
      <dsp:nvSpPr>
        <dsp:cNvPr id="0" name=""/>
        <dsp:cNvSpPr/>
      </dsp:nvSpPr>
      <dsp:spPr>
        <a:xfrm>
          <a:off x="3780828" y="1398771"/>
          <a:ext cx="1062613" cy="1062613"/>
        </a:xfrm>
        <a:prstGeom prst="ellipse">
          <a:avLst/>
        </a:prstGeom>
        <a:solidFill>
          <a:schemeClr val="accent4">
            <a:hueOff val="3266964"/>
            <a:satOff val="-13592"/>
            <a:lumOff val="320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>
              <a:solidFill>
                <a:schemeClr val="tx1"/>
              </a:solidFill>
            </a:rPr>
            <a:t>Fałsz</a:t>
          </a:r>
          <a:r>
            <a:rPr lang="pl-PL" sz="600" kern="1200">
              <a:solidFill>
                <a:schemeClr val="tx1"/>
              </a:solidFill>
            </a:rPr>
            <a:t> - to przeciwieństwo prawdy. Niezgodność sądu z rzeczywistym stanem rzeczy, którego ten sąd dotyczy.</a:t>
          </a:r>
        </a:p>
      </dsp:txBody>
      <dsp:txXfrm>
        <a:off x="3936444" y="1554387"/>
        <a:ext cx="751381" cy="751381"/>
      </dsp:txXfrm>
    </dsp:sp>
    <dsp:sp modelId="{0541DC41-DE40-F14E-9DA3-488C430701A3}">
      <dsp:nvSpPr>
        <dsp:cNvPr id="0" name=""/>
        <dsp:cNvSpPr/>
      </dsp:nvSpPr>
      <dsp:spPr>
        <a:xfrm rot="5400000">
          <a:off x="2767831" y="2605619"/>
          <a:ext cx="321127" cy="32657"/>
        </a:xfrm>
        <a:custGeom>
          <a:avLst/>
          <a:gdLst/>
          <a:ahLst/>
          <a:cxnLst/>
          <a:rect l="0" t="0" r="0" b="0"/>
          <a:pathLst>
            <a:path>
              <a:moveTo>
                <a:pt x="0" y="16328"/>
              </a:moveTo>
              <a:lnTo>
                <a:pt x="321127" y="1632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>
        <a:off x="2920366" y="2613920"/>
        <a:ext cx="16056" cy="16056"/>
      </dsp:txXfrm>
    </dsp:sp>
    <dsp:sp modelId="{C0279E19-C559-7143-848A-A6A1762018D5}">
      <dsp:nvSpPr>
        <dsp:cNvPr id="0" name=""/>
        <dsp:cNvSpPr/>
      </dsp:nvSpPr>
      <dsp:spPr>
        <a:xfrm>
          <a:off x="2397088" y="2782512"/>
          <a:ext cx="1062613" cy="1062613"/>
        </a:xfrm>
        <a:prstGeom prst="ellipse">
          <a:avLst/>
        </a:prstGeom>
        <a:solidFill>
          <a:schemeClr val="accent4">
            <a:hueOff val="6533927"/>
            <a:satOff val="-27185"/>
            <a:lumOff val="6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>
              <a:solidFill>
                <a:schemeClr val="tx1"/>
              </a:solidFill>
            </a:rPr>
            <a:t>Logika</a:t>
          </a:r>
          <a:r>
            <a:rPr lang="pl-PL" sz="600" kern="1200">
              <a:solidFill>
                <a:schemeClr val="tx1"/>
              </a:solidFill>
            </a:rPr>
            <a:t> - dotyczy mówienia i rozumowania, jest narzędziem filozofii. Bada związki między prawdziwością a fałszywością zdań.  </a:t>
          </a:r>
        </a:p>
      </dsp:txBody>
      <dsp:txXfrm>
        <a:off x="2552704" y="2938128"/>
        <a:ext cx="751381" cy="751381"/>
      </dsp:txXfrm>
    </dsp:sp>
    <dsp:sp modelId="{F19F535C-3EF7-7B42-8177-BCE4B3E4B712}">
      <dsp:nvSpPr>
        <dsp:cNvPr id="0" name=""/>
        <dsp:cNvSpPr/>
      </dsp:nvSpPr>
      <dsp:spPr>
        <a:xfrm rot="10800000">
          <a:off x="2075961" y="1913749"/>
          <a:ext cx="321127" cy="32657"/>
        </a:xfrm>
        <a:custGeom>
          <a:avLst/>
          <a:gdLst/>
          <a:ahLst/>
          <a:cxnLst/>
          <a:rect l="0" t="0" r="0" b="0"/>
          <a:pathLst>
            <a:path>
              <a:moveTo>
                <a:pt x="0" y="16328"/>
              </a:moveTo>
              <a:lnTo>
                <a:pt x="321127" y="1632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500" kern="1200"/>
        </a:p>
      </dsp:txBody>
      <dsp:txXfrm rot="10800000">
        <a:off x="2228496" y="1922050"/>
        <a:ext cx="16056" cy="16056"/>
      </dsp:txXfrm>
    </dsp:sp>
    <dsp:sp modelId="{F22C2D76-B225-034B-92CD-48F61DDB8768}">
      <dsp:nvSpPr>
        <dsp:cNvPr id="0" name=""/>
        <dsp:cNvSpPr/>
      </dsp:nvSpPr>
      <dsp:spPr>
        <a:xfrm>
          <a:off x="1013347" y="1398771"/>
          <a:ext cx="1062613" cy="1062613"/>
        </a:xfrm>
        <a:prstGeom prst="ellipse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600" b="1" kern="1200">
              <a:solidFill>
                <a:schemeClr val="tx1"/>
              </a:solidFill>
            </a:rPr>
            <a:t>Prawda</a:t>
          </a:r>
          <a:r>
            <a:rPr lang="pl-PL" sz="600" kern="1200">
              <a:solidFill>
                <a:schemeClr val="tx1"/>
              </a:solidFill>
            </a:rPr>
            <a:t> - zgodność tego, co mówimy (sąd) z rzeczywistym stanem rzeczy, np: "ta ściana jest biała". I rzeczywiście wskazywana ściana jest biała. </a:t>
          </a:r>
        </a:p>
      </dsp:txBody>
      <dsp:txXfrm>
        <a:off x="1168963" y="1554387"/>
        <a:ext cx="751381" cy="7513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3</cp:revision>
  <dcterms:created xsi:type="dcterms:W3CDTF">2020-04-01T20:51:00Z</dcterms:created>
  <dcterms:modified xsi:type="dcterms:W3CDTF">2020-04-01T21:08:00Z</dcterms:modified>
</cp:coreProperties>
</file>